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26-70</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HEALTH DEPARTMENT[641]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641—Chapter 131</w:t>
      </w:r>
    </w:p>
    <w:p>
      <w:pPr>
        <w:spacing w:before="0" w:after="0" w:line="480"/>
        <w:ind w:left="120"/>
        <w:jc w:val="center"/>
      </w:pPr>
      <w:r>
        <w:rPr>
          <w:rFonts w:ascii="Times New Roman" w:hAnsi="Times New Roman"/>
          <w:b w:val="false"/>
          <w:i w:val="false"/>
          <w:color w:val="000000"/>
          <w:sz w:val="24"/>
        </w:rPr>
        <w:t>“Emergency Medical Services—Certification, Renewal, and Continuing Education”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147A, 147D, and 272C.4</w:t>
      </w:r>
    </w:p>
    <w:p>
      <w:pPr>
        <w:spacing w:before="0" w:after="0" w:line="480"/>
        <w:ind w:left="120"/>
        <w:jc w:val="both"/>
      </w:pPr>
      <w:r>
        <w:rPr>
          <w:rFonts w:ascii="Times New Roman" w:hAnsi="Times New Roman"/>
          <w:b w:val="false"/>
          <w:i w:val="false"/>
          <w:color w:val="000000"/>
          <w:sz w:val="24"/>
        </w:rPr>
        <w:t>State or federal law(s) implemented by the rulemaking: Iowa Code chapters 147A and 147D and section 272C.4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16,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263 169 532 452 86</w:t>
            </w:r>
            <w:r>
              <w:br/>
            </w:r>
            <w:r>
              <w:rPr>
                <w:rFonts w:ascii="Times New Roman" w:hAnsi="Times New Roman"/>
                <w:b w:val="false"/>
                <w:i w:val="false"/>
                <w:color w:val="000000"/>
                <w:sz w:val="21"/>
              </w:rPr>
              <w:t>Passcode: mw3az6Y4</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and streamlines Iowa’s certification, renewal, and continuing education requirements for Iowa emergency medical services (EMS) workers. Key changes include modernizing the continuing education hours (CEHs) structure, reactivation pathways, and background check process, as well as an updated scope of practice. These proposed amendments will help ensure compliance with national EMS standards, reduce administrative complexity, and reinforce consistent statewide practice expectations. Adoption of updated rules will support a more competent and better-prepared EMS workforce.</w:t>
      </w:r>
    </w:p>
    <w:p>
      <w:pPr>
        <w:spacing w:before="0" w:after="0" w:line="480"/>
        <w:ind w:left="120"/>
        <w:jc w:val="both"/>
      </w:pPr>
      <w:r>
        <w:rPr>
          <w:rFonts w:ascii="Times New Roman" w:hAnsi="Times New Roman"/>
          <w:b w:val="false"/>
          <w:i w:val="false"/>
          <w:color w:val="000000"/>
          <w:sz w:val="24"/>
        </w:rPr>
        <w:t>    Specifically, this proposed rulemaking: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Modernizes the continuing education structure by adding pediatric CEH requirements and allowing half-hour CEHs.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background check process by reflecting the use of digital fingerprints and removing the outdated card-based system.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references to the Iowa Emergency Medical Care Provider Scope of Practice for EMS workers to the most current version.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Restructures reactivation pathways, eliminating the 25- to 48-month reactivation option and redirecting impacted individuals to the National Registry of Emergency Medical Technicians (NREMT) knowledge assessment for reactivation.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fee for returned payments from $15 to $40 to align with the ongoing Department of Inspections, Appeals, and Licensing (DIAL) alignment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continuing education audit documentation deadlines from 45 days to 30 days to align with the ongoing DIAL alignment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language pertaining to certification denial or sanctions based upon feedback received from an administrative law judge regarding fraud.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 beyond the updated returned check fee. In that regard, individuals applying for EMS credentials who submit checks for which there are insufficient funds will be subject to an increased fee.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will benefit from updated rules that will support a more competent and better-prepared EMS workforce.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As of April 2026, there were 10,746 EMS providers serving in Iowa. There are approximately 600 applicants per year.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Iowans will benefit from updated rules that will support a more competent and better-prepared EMS workforce.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the program outlined in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 Any fees associated with the program go to support the ongoing administration of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to maintain high standards for Iowa’s EMS provider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641—131.1(147A,147D,272C)</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“CEH” and </w:t>
      </w:r>
      <w:r>
        <w:rPr>
          <w:rFonts w:ascii="Times New Roman" w:hAnsi="Times New Roman"/>
          <w:b w:val="false"/>
          <w:i w:val="false"/>
          <w:color w:val="000000"/>
          <w:sz w:val="24"/>
        </w:rPr>
        <w:t>“Core continuing education,”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“CEH”</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continuing education hour, which is based upon </w:t>
      </w:r>
      <w:r>
        <w:rPr>
          <w:rFonts w:ascii="Times New Roman" w:hAnsi="Times New Roman"/>
          <w:b w:val="false"/>
          <w:i w:val="false"/>
          <w:strike/>
          <w:color w:val="000000"/>
          <w:sz w:val="24"/>
        </w:rPr>
        <w:t>a minimum of</w:t>
      </w:r>
      <w:r>
        <w:rPr>
          <w:rFonts w:ascii="Times New Roman" w:hAnsi="Times New Roman"/>
          <w:b w:val="false"/>
          <w:i w:val="false"/>
          <w:color w:val="000000"/>
          <w:sz w:val="24"/>
        </w:rPr>
        <w:t xml:space="preserve"> 50 minutes of training per hour.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Fifty minutes equals one CEH, and 30 minutes equals one-half CEH.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continuing education”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education obtained during a certification period to renew certification. Core continuing education will have an assigned sponsor number from CAPCE, an authorized EMS training program, </w:t>
      </w:r>
      <w:r>
        <w:rPr>
          <w:rFonts w:ascii="Times New Roman" w:hAnsi="Times New Roman"/>
          <w:b w:val="false"/>
          <w:i w:val="false"/>
          <w:strike/>
          <w:color w:val="000000"/>
          <w:sz w:val="24"/>
        </w:rPr>
        <w:t>the board of nursing, the board of medicine</w:t>
      </w:r>
      <w:r>
        <w:rPr>
          <w:rFonts w:ascii="Times New Roman" w:hAnsi="Times New Roman"/>
          <w:b w:val="false"/>
          <w:i w:val="false"/>
          <w:color w:val="000000"/>
          <w:sz w:val="24"/>
        </w:rPr>
        <w:t xml:space="preserve"> or the department.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131.2(1)</w:t>
      </w:r>
      <w:r>
        <w:rPr>
          <w:rFonts w:ascii="Times New Roman" w:hAnsi="Times New Roman"/>
          <w:b w:val="false"/>
          <w:i w:val="false"/>
          <w:color w:val="000000"/>
          <w:sz w:val="24"/>
        </w:rPr>
        <w:t> </w:t>
      </w:r>
      <w:r>
        <w:rPr>
          <w:rFonts w:ascii="Times New Roman" w:hAnsi="Times New Roman"/>
          <w:b w:val="false"/>
          <w:i w:val="false"/>
          <w:color w:val="000000"/>
          <w:sz w:val="24"/>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completed EMS certification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NREMT active certification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of the initial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strike/>
          <w:color w:val="000000"/>
          <w:sz w:val="24"/>
        </w:rPr>
        <w:t>Two completed fingerprint cards for background checks.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completed background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Payment of the background check fee.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131.4(2)</w:t>
      </w:r>
      <w:r>
        <w:rPr>
          <w:rFonts w:ascii="Times New Roman" w:hAnsi="Times New Roman"/>
          <w:b w:val="false"/>
          <w:i w:val="false"/>
          <w:color w:val="000000"/>
          <w:sz w:val="24"/>
        </w:rPr>
        <w:t> </w:t>
      </w:r>
      <w:r>
        <w:rPr>
          <w:rFonts w:ascii="Times New Roman" w:hAnsi="Times New Roman"/>
          <w:b w:val="false"/>
          <w:i/>
          <w:color w:val="000000"/>
          <w:sz w:val="24"/>
        </w:rPr>
        <w:t xml:space="preserve">Scope of practice.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Emergency Medical Care Provider Scope of Practice </w:t>
      </w:r>
      <w:r>
        <w:rPr>
          <w:rFonts w:ascii="Times New Roman" w:hAnsi="Times New Roman"/>
          <w:b w:val="false"/>
          <w:i w:val="false"/>
          <w:strike/>
          <w:color w:val="000000"/>
          <w:sz w:val="24"/>
        </w:rPr>
        <w:t>(September 2019)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September 1, 2026,</w:t>
      </w:r>
      <w:r>
        <w:rPr>
          <w:rFonts w:ascii="Times New Roman" w:hAnsi="Times New Roman"/>
          <w:b w:val="false"/>
          <w:i w:val="false"/>
          <w:color w:val="000000"/>
          <w:sz w:val="24"/>
        </w:rPr>
        <w:t xml:space="preserve"> is hereby incorporated and adopted by reference for emergency medical care providers. For any differences that may occur between the scope of practice adopted by reference and these rules, the rules prevail.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Iowa Emergency Medical Care Provider Scope of Practice as amended to September 1, 2026,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Iowa Emergency Medical Care Provider Scope of Practice (September 2019)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c.</w:t>
      </w:r>
      <w:r>
        <w:rPr>
          <w:rFonts w:ascii="Times New Roman" w:hAnsi="Times New Roman"/>
          <w:b w:val="false"/>
          <w:i w:val="false"/>
          <w:color w:val="000000"/>
          <w:sz w:val="24"/>
        </w:rPr>
        <w:t xml:space="preserve">The department may grant a waiver for changes to the scope of practice that have not yet been adopted by reference in these rules pursuant to </w:t>
      </w:r>
      <w:hyperlink r:id="rId5">
        <w:r>
          <w:rPr>
            <w:rStyle w:val="Hyperlink"/>
            <w:rFonts w:ascii="Times New Roman" w:hAnsi="Times New Roman"/>
            <w:b w:val="false"/>
            <w:i w:val="false"/>
            <w:color w:val="000000"/>
            <w:sz w:val="24"/>
          </w:rPr>
          <w:t>441—Chapter 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131.5(4)</w:t>
      </w:r>
      <w:r>
        <w:rPr>
          <w:rFonts w:ascii="Times New Roman" w:hAnsi="Times New Roman"/>
          <w:b w:val="false"/>
          <w:i w:val="false"/>
          <w:color w:val="000000"/>
          <w:sz w:val="24"/>
        </w:rPr>
        <w:t> </w:t>
      </w:r>
      <w:r>
        <w:rPr>
          <w:rFonts w:ascii="Times New Roman" w:hAnsi="Times New Roman"/>
          <w:b w:val="false"/>
          <w:i/>
          <w:color w:val="000000"/>
          <w:sz w:val="24"/>
        </w:rPr>
        <w:t xml:space="preserve">Reactivation of an inactive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Certification inactive up to 24 months. </w:t>
      </w:r>
      <w:r>
        <w:rPr>
          <w:rFonts w:ascii="Times New Roman" w:hAnsi="Times New Roman"/>
          <w:b w:val="false"/>
          <w:i w:val="false"/>
          <w:color w:val="000000"/>
          <w:sz w:val="24"/>
        </w:rPr>
        <w:t>An emergency medical care provider may apply to reactivate an inactive certification up to 24 months after the certification became inactive.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approves the application, the individual must submit </w:t>
      </w:r>
      <w:r>
        <w:rPr>
          <w:rFonts w:ascii="Times New Roman" w:hAnsi="Times New Roman"/>
          <w:b w:val="false"/>
          <w:i w:val="false"/>
          <w:strike/>
          <w:color w:val="000000"/>
          <w:sz w:val="24"/>
        </w:rPr>
        <w:t>an audit report form with 36</w:t>
      </w:r>
      <w:r>
        <w:rPr>
          <w:rFonts w:ascii="Times New Roman" w:hAnsi="Times New Roman"/>
          <w:b w:val="false"/>
          <w:i w:val="false"/>
          <w:color w:val="000000"/>
          <w:sz w:val="24"/>
        </w:rPr>
        <w:t xml:space="preserve"> core continuing education hours </w:t>
      </w:r>
      <w:r>
        <w:rPr>
          <w:rFonts w:ascii="Times New Roman" w:hAnsi="Times New Roman"/>
          <w:b w:val="false"/>
          <w:i w:val="false"/>
          <w:strike/>
          <w:color w:val="000000"/>
          <w:sz w:val="24"/>
        </w:rPr>
        <w:t>prorated per lapsed year by core topic area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based upon the table in paragraph </w:t>
      </w:r>
      <w:hyperlink r:id="rId6">
        <w:r>
          <w:rPr>
            <w:rStyle w:val="Hyperlink"/>
            <w:rFonts w:ascii="Times New Roman" w:hAnsi="Times New Roman"/>
            <w:b w:val="false"/>
            <w:i w:val="false"/>
            <w:color w:val="000000"/>
            <w:sz w:val="24"/>
            <w:u w:val="single"/>
          </w:rPr>
          <w:t>131.5(7)</w:t>
        </w:r>
      </w:hyperlink>
      <w:r>
        <w:rPr>
          <w:rFonts w:ascii="Times New Roman" w:hAnsi="Times New Roman"/>
          <w:b w:val="false"/>
          <w:i/>
          <w:color w:val="000000"/>
          <w:sz w:val="24"/>
          <w:u w:val="single"/>
        </w:rPr>
        <w:t>“a”</w:t>
      </w:r>
      <w:r>
        <w:rPr>
          <w:rFonts w:ascii="Times New Roman" w:hAnsi="Times New Roman"/>
          <w:b w:val="false"/>
          <w:i w:val="false"/>
          <w:color w:val="000000"/>
          <w:sz w:val="24"/>
          <w:u w:val="single"/>
        </w:rPr>
        <w:t xml:space="preserve"> for the level of EMS certification requested for reactivation, a completed background check,</w:t>
      </w:r>
      <w:r>
        <w:rPr>
          <w:rFonts w:ascii="Times New Roman" w:hAnsi="Times New Roman"/>
          <w:b w:val="false"/>
          <w:i w:val="false"/>
          <w:color w:val="000000"/>
          <w:sz w:val="24"/>
        </w:rPr>
        <w:t xml:space="preserve"> and the reactivation fee.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core CEHs and the background check shall be completed after the department receives and approves the reactivation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medical care provider who fails to complete the reactivation process within 12 months from the date of application </w:t>
      </w:r>
      <w:r>
        <w:rPr>
          <w:rFonts w:ascii="Times New Roman" w:hAnsi="Times New Roman"/>
          <w:b w:val="false"/>
          <w:i w:val="false"/>
          <w:strike/>
          <w:color w:val="000000"/>
          <w:sz w:val="24"/>
        </w:rPr>
        <w:t>approval must reapply for reactivation of the inactive certification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 not be eligible for reactivation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Certification inactive from 25 months to 48 months. </w:t>
      </w:r>
      <w:r>
        <w:rPr>
          <w:rFonts w:ascii="Times New Roman" w:hAnsi="Times New Roman"/>
          <w:b w:val="false"/>
          <w:i w:val="false"/>
          <w:strike/>
          <w:color w:val="000000"/>
          <w:sz w:val="24"/>
        </w:rPr>
        <w:t>An emergency medical care provider  may apply to reactivate an inactive certification that has been inactive for 25 months but no more than 48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An individual will submit to the department an EMS certification reactivation application, which is available from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If the department approves the application, the individual must submit documentation of successful completion of an approved EMS refresher course that includes successful completion of department or NREMT testing requirements. In addition, the individual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Complete fingerprint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Submit reactivation and background check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Upon receipt and approval of the items required in subparagraphs </w:t>
      </w:r>
      <w:hyperlink r:id="rId7">
        <w:r>
          <w:rPr>
            <w:rStyle w:val="Hyperlink"/>
            <w:rFonts w:ascii="Times New Roman" w:hAnsi="Times New Roman"/>
            <w:b w:val="false"/>
            <w:i w:val="false"/>
            <w:strike/>
            <w:color w:val="000000"/>
            <w:sz w:val="24"/>
          </w:rPr>
          <w:t>131.5(4)</w:t>
        </w:r>
        <w:r>
          <w:rPr>
            <w:rFonts w:ascii="Times New Roman" w:hAnsi="Times New Roman"/>
            <w:b w:val="false"/>
            <w:i/>
            <w:strike/>
            <w:color w:val="000000"/>
            <w:sz w:val="24"/>
          </w:rPr>
          <w:t>“b”</w:t>
        </w:r>
        <w:r>
          <w:rPr>
            <w:rFonts w:ascii="Times New Roman" w:hAnsi="Times New Roman"/>
            <w:b w:val="false"/>
            <w:i w:val="false"/>
            <w:strike/>
            <w:color w:val="000000"/>
            <w:sz w:val="24"/>
          </w:rPr>
          <w:t>(1)</w:t>
        </w:r>
      </w:hyperlink>
      <w:r>
        <w:rPr>
          <w:rFonts w:ascii="Times New Roman" w:hAnsi="Times New Roman"/>
          <w:b w:val="false"/>
          <w:i w:val="false"/>
          <w:strike/>
          <w:color w:val="000000"/>
          <w:sz w:val="24"/>
        </w:rPr>
        <w:t xml:space="preserve"> and </w:t>
      </w:r>
      <w:r>
        <w:rPr>
          <w:rFonts w:ascii="Times New Roman" w:hAnsi="Times New Roman"/>
          <w:b w:val="false"/>
          <w:i w:val="false"/>
          <w:strike/>
          <w:color w:val="000000"/>
          <w:sz w:val="24"/>
        </w:rPr>
        <w:t>(2)</w:t>
      </w:r>
      <w:r>
        <w:rPr>
          <w:rFonts w:ascii="Times New Roman" w:hAnsi="Times New Roman"/>
          <w:b w:val="false"/>
          <w:i w:val="false"/>
          <w:strike/>
          <w:color w:val="000000"/>
          <w:sz w:val="24"/>
        </w:rPr>
        <w:t>, the department may issue a new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An emergency medical care provider who fails to complete the reactivation process within 12 months from the date of application approval must reapply for reactivation of the inactive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b.</w:t>
      </w:r>
      <w:r>
        <w:rPr>
          <w:rFonts w:ascii="Times New Roman" w:hAnsi="Times New Roman"/>
          <w:b w:val="false"/>
          <w:i/>
          <w:color w:val="000000"/>
          <w:sz w:val="24"/>
        </w:rPr>
        <w:t xml:space="preserve">Certification inactive for more than </w:t>
      </w:r>
      <w:r>
        <w:rPr>
          <w:rFonts w:ascii="Times New Roman" w:hAnsi="Times New Roman"/>
          <w:b w:val="false"/>
          <w:i/>
          <w:strike/>
          <w:color w:val="000000"/>
          <w:sz w:val="24"/>
        </w:rPr>
        <w:t>48</w:t>
      </w:r>
      <w:r>
        <w:rPr>
          <w:rFonts w:ascii="Times New Roman" w:hAnsi="Times New Roman"/>
          <w:b w:val="false"/>
          <w:i/>
          <w:color w:val="000000"/>
          <w:sz w:val="24"/>
          <w:u w:val="single"/>
        </w:rPr>
        <w:t> </w:t>
      </w:r>
      <w:r>
        <w:rPr>
          <w:rFonts w:ascii="Times New Roman" w:hAnsi="Times New Roman"/>
          <w:b w:val="false"/>
          <w:i/>
          <w:color w:val="000000"/>
          <w:sz w:val="24"/>
          <w:u w:val="single"/>
        </w:rPr>
        <w:t>24</w:t>
      </w:r>
      <w:r>
        <w:rPr>
          <w:rFonts w:ascii="Times New Roman" w:hAnsi="Times New Roman"/>
          <w:b w:val="false"/>
          <w:i/>
          <w:color w:val="000000"/>
          <w:sz w:val="24"/>
        </w:rPr>
        <w:t xml:space="preserve"> months. </w:t>
      </w:r>
      <w:r>
        <w:rPr>
          <w:rFonts w:ascii="Times New Roman" w:hAnsi="Times New Roman"/>
          <w:b w:val="false"/>
          <w:i w:val="false"/>
          <w:color w:val="000000"/>
          <w:sz w:val="24"/>
        </w:rPr>
        <w:t xml:space="preserve">An emergency medical care provider </w:t>
      </w:r>
      <w:r>
        <w:rPr>
          <w:rFonts w:ascii="Times New Roman" w:hAnsi="Times New Roman"/>
          <w:b w:val="false"/>
          <w:i w:val="false"/>
          <w:strike/>
          <w:color w:val="000000"/>
          <w:sz w:val="24"/>
        </w:rPr>
        <w:t>may not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cannot</w:t>
      </w:r>
      <w:r>
        <w:rPr>
          <w:rFonts w:ascii="Times New Roman" w:hAnsi="Times New Roman"/>
          <w:b w:val="false"/>
          <w:i w:val="false"/>
          <w:color w:val="000000"/>
          <w:sz w:val="24"/>
        </w:rPr>
        <w:t xml:space="preserve"> apply to reactivate a certification that has been inactive for more than </w:t>
      </w:r>
      <w:r>
        <w:rPr>
          <w:rFonts w:ascii="Times New Roman" w:hAnsi="Times New Roman"/>
          <w:b w:val="false"/>
          <w:i w:val="false"/>
          <w:strike/>
          <w:color w:val="000000"/>
          <w:sz w:val="24"/>
        </w:rPr>
        <w:t>48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24</w:t>
      </w:r>
      <w:r>
        <w:rPr>
          <w:rFonts w:ascii="Times New Roman" w:hAnsi="Times New Roman"/>
          <w:b w:val="false"/>
          <w:i w:val="false"/>
          <w:color w:val="000000"/>
          <w:sz w:val="24"/>
        </w:rPr>
        <w:t xml:space="preserve"> months.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 emergency medical care provider who has been inactive for more than 24 months may complete the NREMT reentry requirements and apply for certification in accordance with subrule </w:t>
      </w:r>
      <w:hyperlink r:id="rId8">
        <w:r>
          <w:rPr>
            <w:rStyle w:val="Hyperlink"/>
            <w:rFonts w:ascii="Times New Roman" w:hAnsi="Times New Roman"/>
            <w:b w:val="false"/>
            <w:i w:val="false"/>
            <w:color w:val="000000"/>
            <w:sz w:val="24"/>
            <w:u w:val="single"/>
          </w:rPr>
          <w:t>131.2(1)</w:t>
        </w:r>
      </w:hyperlink>
      <w:r>
        <w:rPr>
          <w:rFonts w:ascii="Times New Roman" w:hAnsi="Times New Roman"/>
          <w:b w:val="false"/>
          <w:i w:val="false"/>
          <w:color w:val="000000"/>
          <w:sz w:val="24"/>
          <w:u w:val="single"/>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131.5(6)</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The nonrefundable fees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Returned payment due to insufficient funds: </w:t>
      </w:r>
      <w:r>
        <w:rPr>
          <w:rFonts w:ascii="Times New Roman" w:hAnsi="Times New Roman"/>
          <w:b w:val="false"/>
          <w:i w:val="false"/>
          <w:strike/>
          <w:color w:val="000000"/>
          <w:sz w:val="24"/>
        </w:rPr>
        <w:t>$15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131.5(7)</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table below illustrates the minimum number of core </w:t>
      </w:r>
      <w:r>
        <w:rPr>
          <w:rFonts w:ascii="Times New Roman" w:hAnsi="Times New Roman"/>
          <w:b w:val="false"/>
          <w:i w:val="false"/>
          <w:strike/>
          <w:color w:val="000000"/>
          <w:sz w:val="24"/>
        </w:rPr>
        <w:t>continuing education hours (</w:t>
      </w:r>
      <w:r>
        <w:rPr>
          <w:rFonts w:ascii="Times New Roman" w:hAnsi="Times New Roman"/>
          <w:b w:val="false"/>
          <w:i w:val="false"/>
          <w:color w:val="000000"/>
          <w:sz w:val="24"/>
        </w:rPr>
        <w:t>CEHs</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by topic area for each level of emergency medical care provider to renew an Iowa EMS certification.</w:t>
      </w:r>
    </w:p>
    <w:tbl>
      <w:tblPr>
        <w:tblW w:w="0" w:type="auto"/>
        <w:tblCellSpacing w:w="0" w:type="auto"/>
        <w:tblInd w:w="1280" w:type="dxa"/>
        <w:tblBorders>
          <w:top w:val="single" w:color="000000" w:sz="8"/>
          <w:left w:val="single" w:color="000000" w:sz="8"/>
          <w:bottom w:val="single" w:color="000000" w:sz="8"/>
          <w:right w:val="single" w:color="000000" w:sz="8"/>
          <w:insideH w:val="none"/>
          <w:insideV w:val="none"/>
        </w:tblBorders>
      </w:tblPr>
      <w:tblGrid>
        <w:gridCol w:w="4148"/>
        <w:gridCol w:w="1843"/>
        <w:gridCol w:w="1843"/>
        <w:gridCol w:w="1843"/>
        <w:gridCol w:w="1843"/>
      </w:tblGrid>
      <w:tr>
        <w:trPr>
          <w:trHeight w:val="100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Core Topics</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EMR/FR</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EMT/EMT-D</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AEMT</w:t>
            </w:r>
          </w:p>
        </w:tc>
        <w:tc>
          <w:tcPr>
            <w:tcW w:w="1843"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PM</w:t>
            </w:r>
          </w:p>
        </w:tc>
      </w:tr>
      <w:tr>
        <w:trPr>
          <w:trHeight w:val="52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Airway, Respirations, Ventilations</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p>
        </w:tc>
        <w:tc>
          <w:tcPr>
            <w:tcW w:w="1843" w:type="dxa"/>
            <w:tcBorders>
              <w:bottom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w:t>
            </w:r>
          </w:p>
        </w:tc>
      </w:tr>
      <w:tr>
        <w:trPr>
          <w:trHeight w:val="52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Cardiology</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0"/>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w:t>
            </w:r>
          </w:p>
        </w:tc>
        <w:tc>
          <w:tcPr>
            <w:tcW w:w="1843" w:type="dxa"/>
            <w:tcBorders>
              <w:bottom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w:t>
            </w:r>
          </w:p>
        </w:tc>
      </w:tr>
      <w:tr>
        <w:trPr>
          <w:trHeight w:val="52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Trauma</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w:t>
            </w:r>
          </w:p>
        </w:tc>
        <w:tc>
          <w:tcPr>
            <w:tcW w:w="1843" w:type="dxa"/>
            <w:tcBorders>
              <w:bottom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p>
        </w:tc>
      </w:tr>
      <w:tr>
        <w:trPr>
          <w:trHeight w:val="52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Medical</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2.5</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0"/>
              </w:rPr>
              <w:t>6</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w:t>
            </w:r>
          </w:p>
        </w:tc>
        <w:tc>
          <w:tcPr>
            <w:tcW w:w="1843" w:type="dxa"/>
            <w:tcBorders>
              <w:bottom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8</w:t>
            </w:r>
          </w:p>
        </w:tc>
      </w:tr>
      <w:tr>
        <w:trPr>
          <w:trHeight w:val="52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Operations</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w:t>
            </w:r>
          </w:p>
        </w:tc>
        <w:tc>
          <w:tcPr>
            <w:tcW w:w="1843" w:type="dxa"/>
            <w:tcBorders>
              <w:bottom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strike/>
                <w:color w:val="000000"/>
                <w:sz w:val="24"/>
              </w:rPr>
              <w:t>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w:t>
            </w:r>
          </w:p>
        </w:tc>
      </w:tr>
      <w:tr>
        <w:trPr>
          <w:trHeight w:val="52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Pediatric</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u w:val="single"/>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u w:val="single"/>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u w:val="single"/>
              </w:rPr>
              <w:t>3</w:t>
            </w:r>
          </w:p>
        </w:tc>
        <w:tc>
          <w:tcPr>
            <w:tcW w:w="1843" w:type="dxa"/>
            <w:tcBorders>
              <w:bottom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u w:val="single"/>
              </w:rPr>
              <w:t>4</w:t>
            </w:r>
          </w:p>
        </w:tc>
      </w:tr>
      <w:tr>
        <w:trPr>
          <w:trHeight w:val="525" w:hRule="atLeast"/>
        </w:trPr>
        <w:tc>
          <w:tcPr>
            <w:tcW w:w="414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Totals</w:t>
            </w:r>
          </w:p>
        </w:tc>
        <w:tc>
          <w:tcPr>
            <w:tcW w:w="1843" w:type="dxa"/>
            <w:tcBorders>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i w:val="false"/>
                <w:strike/>
                <w:color w:val="000000"/>
                <w:sz w:val="24"/>
              </w:rPr>
              <w:t>8</w:t>
            </w:r>
            <w:r>
              <w:rPr>
                <w:rFonts w:ascii="Times New Roman" w:hAnsi="Times New Roman"/>
                <w:b/>
                <w:i w:val="false"/>
                <w:color w:val="000000"/>
                <w:sz w:val="24"/>
                <w:u w:val="single"/>
              </w:rPr>
              <w:t> </w:t>
            </w:r>
            <w:r>
              <w:rPr>
                <w:rFonts w:ascii="Times New Roman" w:hAnsi="Times New Roman"/>
                <w:b/>
                <w:i w:val="false"/>
                <w:color w:val="000000"/>
                <w:sz w:val="24"/>
                <w:u w:val="single"/>
              </w:rPr>
              <w:t>9</w:t>
            </w:r>
          </w:p>
        </w:tc>
        <w:tc>
          <w:tcPr>
            <w:tcW w:w="1843" w:type="dxa"/>
            <w:tcBorders>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i w:val="false"/>
                <w:strike/>
                <w:color w:val="000000"/>
                <w:sz w:val="24"/>
              </w:rPr>
              <w:t>20</w:t>
            </w:r>
            <w:r>
              <w:rPr>
                <w:rFonts w:ascii="Times New Roman" w:hAnsi="Times New Roman"/>
                <w:b/>
                <w:i w:val="false"/>
                <w:color w:val="000000"/>
                <w:sz w:val="24"/>
                <w:u w:val="single"/>
              </w:rPr>
              <w:t> </w:t>
            </w:r>
            <w:r>
              <w:rPr>
                <w:rFonts w:ascii="Times New Roman" w:hAnsi="Times New Roman"/>
                <w:b/>
                <w:i w:val="false"/>
                <w:color w:val="000000"/>
                <w:sz w:val="24"/>
                <w:u w:val="single"/>
              </w:rPr>
              <w:t>22</w:t>
            </w:r>
          </w:p>
        </w:tc>
        <w:tc>
          <w:tcPr>
            <w:tcW w:w="1843" w:type="dxa"/>
            <w:tcBorders>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i w:val="false"/>
                <w:strike/>
                <w:color w:val="000000"/>
                <w:sz w:val="24"/>
              </w:rPr>
              <w:t>25</w:t>
            </w:r>
            <w:r>
              <w:rPr>
                <w:rFonts w:ascii="Times New Roman" w:hAnsi="Times New Roman"/>
                <w:b/>
                <w:i w:val="false"/>
                <w:color w:val="000000"/>
                <w:sz w:val="24"/>
                <w:u w:val="single"/>
              </w:rPr>
              <w:t> </w:t>
            </w:r>
            <w:r>
              <w:rPr>
                <w:rFonts w:ascii="Times New Roman" w:hAnsi="Times New Roman"/>
                <w:b/>
                <w:i w:val="false"/>
                <w:color w:val="000000"/>
                <w:sz w:val="24"/>
                <w:u w:val="single"/>
              </w:rPr>
              <w:t>28</w:t>
            </w:r>
          </w:p>
        </w:tc>
        <w:tc>
          <w:tcPr>
            <w:tcW w:w="1843"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i w:val="false"/>
                <w:strike/>
                <w:color w:val="000000"/>
                <w:sz w:val="24"/>
              </w:rPr>
              <w:t>30</w:t>
            </w:r>
            <w:r>
              <w:rPr>
                <w:rFonts w:ascii="Times New Roman" w:hAnsi="Times New Roman"/>
                <w:b/>
                <w:i w:val="false"/>
                <w:color w:val="000000"/>
                <w:sz w:val="24"/>
                <w:u w:val="single"/>
              </w:rPr>
              <w:t> </w:t>
            </w:r>
            <w:r>
              <w:rPr>
                <w:rFonts w:ascii="Times New Roman" w:hAnsi="Times New Roman"/>
                <w:b/>
                <w:i w:val="false"/>
                <w:color w:val="000000"/>
                <w:sz w:val="24"/>
                <w:u w:val="single"/>
              </w:rPr>
              <w:t>34</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core continuing education hours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 by an Iowa EMS training program, the department, or CAPCE</w:t>
      </w:r>
      <w:r>
        <w:rPr>
          <w:rFonts w:ascii="Times New Roman" w:hAnsi="Times New Roman"/>
          <w:b w:val="false"/>
          <w:i w:val="false"/>
          <w:color w:val="000000"/>
          <w:sz w:val="24"/>
        </w:rPr>
        <w:t xml:space="preserve"> used to renew an Iowa EMS certification must have a sponsor number </w:t>
      </w:r>
      <w:r>
        <w:rPr>
          <w:rFonts w:ascii="Times New Roman" w:hAnsi="Times New Roman"/>
          <w:b w:val="false"/>
          <w:i w:val="false"/>
          <w:strike/>
          <w:color w:val="000000"/>
          <w:sz w:val="24"/>
        </w:rPr>
        <w:t>by an authorized Iowa training program, the department, the board of nursing, the board of medicine, or CAPCE</w:t>
      </w:r>
      <w:r>
        <w:rPr>
          <w:rFonts w:ascii="Times New Roman" w:hAnsi="Times New Roman"/>
          <w:b w:val="false"/>
          <w:i w:val="false"/>
          <w:color w:val="000000"/>
          <w:sz w:val="24"/>
        </w:rPr>
        <w:t xml:space="preserve"> before the emergency medical care provider attends the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w:t>
      </w:r>
      <w:r>
        <w:rPr>
          <w:rFonts w:ascii="Times New Roman" w:hAnsi="Times New Roman"/>
          <w:b w:val="false"/>
          <w:i w:val="false"/>
          <w:strike/>
          <w:color w:val="000000"/>
          <w:sz w:val="24"/>
        </w:rPr>
        <w:t>Those audited must submit a department-provided audit report form within 45 days of the request.</w:t>
      </w:r>
      <w:r>
        <w:rPr>
          <w:rFonts w:ascii="Times New Roman" w:hAnsi="Times New Roman"/>
          <w:b w:val="false"/>
          <w:i w:val="false"/>
          <w:color w:val="000000"/>
          <w:sz w:val="24"/>
        </w:rPr>
        <w:t xml:space="preserve"> If audited,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 30 days from the date of request for audit,</w:t>
      </w:r>
      <w:r>
        <w:rPr>
          <w:rFonts w:ascii="Times New Roman" w:hAnsi="Times New Roman"/>
          <w:b w:val="false"/>
          <w:i w:val="false"/>
          <w:color w:val="000000"/>
          <w:sz w:val="24"/>
        </w:rPr>
        <w:t xml:space="preserve"> the emergency medical care provider must provide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copy of the course completion certification or other verifying documentation that contains</w:t>
      </w:r>
      <w:r>
        <w:rPr>
          <w:rFonts w:ascii="Times New Roman" w:hAnsi="Times New Roman"/>
          <w:b w:val="false"/>
          <w:i w:val="false"/>
          <w:color w:val="000000"/>
          <w:sz w:val="24"/>
        </w:rPr>
        <w:t xml:space="preserve"> the following information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a minimum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 sponsor number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applicable)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131.5(8)</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approval. </w:t>
      </w:r>
      <w:r>
        <w:rPr>
          <w:rFonts w:ascii="Times New Roman" w:hAnsi="Times New Roman"/>
          <w:b w:val="false"/>
          <w:i w:val="false"/>
          <w:color w:val="000000"/>
          <w:sz w:val="24"/>
        </w:rPr>
        <w:t>The following standards apply for approval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 by CAPCE, an authorized EMS training program, or the department</w:t>
      </w:r>
      <w:r>
        <w:rPr>
          <w:rFonts w:ascii="Times New Roman" w:hAnsi="Times New Roman"/>
          <w:b w:val="false"/>
          <w:i w:val="false"/>
          <w:color w:val="000000"/>
          <w:sz w:val="24"/>
        </w:rPr>
        <w:t xml:space="preserve"> will have an assigned sponsor number </w:t>
      </w:r>
      <w:r>
        <w:rPr>
          <w:rFonts w:ascii="Times New Roman" w:hAnsi="Times New Roman"/>
          <w:b w:val="false"/>
          <w:i w:val="false"/>
          <w:strike/>
          <w:color w:val="000000"/>
          <w:sz w:val="24"/>
        </w:rPr>
        <w:t>from CAPCE, an authorized EMS training program, the board of nursing, the board of medicine or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before the emergency medical care provider attends the offering</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Courses must be, at a minimum, 30 minutes in duration (one-half CEH). Multi-hour courses are granted credit in half-hour increments (e.g., one hour and 30 minutes = one and one-half CEHs).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Continuing education courses that are accepted by the board of nursing and the board of medicine that are directly related to EMS patient care and apply to the core continuing education topics will be accepted.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131.6(4)“e”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Fraud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Misrepresentation</w:t>
      </w:r>
      <w:r>
        <w:rPr>
          <w:rFonts w:ascii="Times New Roman" w:hAnsi="Times New Roman"/>
          <w:b w:val="false"/>
          <w:i w:val="false"/>
          <w:color w:val="000000"/>
          <w:sz w:val="24"/>
        </w:rPr>
        <w:t xml:space="preserve"> in procuring certification or renewal,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An intentional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perversion of the truth in making application for a certification to practice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chapter/441.6.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ac/rule/641.131.5.pdf" Type="http://schemas.openxmlformats.org/officeDocument/2006/relationships/hyperlink" Id="rId7"/>
    <Relationship TargetMode="External" Target="https://www.legis.iowa.gov/docs/iac/rule/641.131.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